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C2552" w14:textId="053920DA" w:rsidR="009C28A6" w:rsidRPr="00484DBF" w:rsidRDefault="009C28A6" w:rsidP="009C28A6">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#112-e</w:t>
      </w:r>
      <w:r w:rsidRPr="00484DBF">
        <w:rPr>
          <w:rFonts w:cs="Arial"/>
          <w:bCs/>
          <w:noProof w:val="0"/>
          <w:sz w:val="24"/>
          <w:szCs w:val="24"/>
        </w:rPr>
        <w:tab/>
      </w:r>
      <w:r w:rsidRPr="00F8519C">
        <w:rPr>
          <w:rFonts w:cs="Arial"/>
          <w:bCs/>
          <w:noProof w:val="0"/>
          <w:sz w:val="24"/>
          <w:szCs w:val="24"/>
        </w:rPr>
        <w:t>R3-</w:t>
      </w:r>
      <w:r>
        <w:rPr>
          <w:rFonts w:cs="Arial"/>
          <w:bCs/>
          <w:noProof w:val="0"/>
          <w:sz w:val="24"/>
          <w:szCs w:val="24"/>
        </w:rPr>
        <w:t>21</w:t>
      </w:r>
      <w:r>
        <w:rPr>
          <w:rFonts w:cs="Arial"/>
          <w:bCs/>
          <w:noProof w:val="0"/>
          <w:sz w:val="24"/>
          <w:szCs w:val="24"/>
        </w:rPr>
        <w:t>2615</w:t>
      </w:r>
    </w:p>
    <w:bookmarkEnd w:id="0"/>
    <w:p w14:paraId="112079A8" w14:textId="77777777" w:rsidR="009C28A6" w:rsidRPr="00484DBF" w:rsidRDefault="009C28A6" w:rsidP="009C28A6">
      <w:pPr>
        <w:pStyle w:val="Header"/>
        <w:tabs>
          <w:tab w:val="left" w:pos="2410"/>
        </w:tabs>
        <w:rPr>
          <w:rFonts w:eastAsia="MS Mincho" w:cs="Arial"/>
          <w:sz w:val="24"/>
          <w:szCs w:val="24"/>
          <w:lang w:val="en-US"/>
        </w:rPr>
      </w:pPr>
      <w:r>
        <w:rPr>
          <w:rFonts w:eastAsia="MS Mincho" w:cs="Arial"/>
          <w:sz w:val="24"/>
          <w:szCs w:val="24"/>
          <w:lang w:val="en-US"/>
        </w:rPr>
        <w:t>E-meeting, 17 - 27.05.2021</w:t>
      </w:r>
    </w:p>
    <w:p w14:paraId="25E7E4B8" w14:textId="77777777" w:rsidR="009C28A6" w:rsidRPr="00813CDA" w:rsidRDefault="009C28A6" w:rsidP="009C28A6">
      <w:pPr>
        <w:pStyle w:val="Header"/>
        <w:tabs>
          <w:tab w:val="left" w:pos="2410"/>
        </w:tabs>
        <w:rPr>
          <w:bCs/>
          <w:noProof w:val="0"/>
          <w:sz w:val="24"/>
          <w:lang w:val="en-US"/>
        </w:rPr>
      </w:pPr>
    </w:p>
    <w:p w14:paraId="4C3E33A5" w14:textId="0276EC61" w:rsidR="009C28A6" w:rsidRPr="00484DBF" w:rsidRDefault="009C28A6" w:rsidP="009C28A6">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Pr>
          <w:rFonts w:cs="Arial"/>
          <w:b/>
          <w:bCs/>
          <w:sz w:val="24"/>
        </w:rPr>
        <w:t>8.1</w:t>
      </w:r>
    </w:p>
    <w:p w14:paraId="095021C1" w14:textId="1FF34A5B" w:rsidR="009C28A6" w:rsidRPr="00484DBF" w:rsidRDefault="009C28A6" w:rsidP="009C28A6">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r>
      <w:r w:rsidRPr="009C28A6">
        <w:rPr>
          <w:rFonts w:ascii="Arial" w:hAnsi="Arial" w:cs="Arial"/>
          <w:b/>
          <w:bCs/>
          <w:sz w:val="24"/>
        </w:rPr>
        <w:t>Nokia (moderator)</w:t>
      </w:r>
    </w:p>
    <w:p w14:paraId="622B904D" w14:textId="42403A86" w:rsidR="009C28A6" w:rsidRPr="00484DBF" w:rsidRDefault="009C28A6" w:rsidP="009C28A6">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Pr="009C28A6">
        <w:rPr>
          <w:rFonts w:ascii="Arial" w:hAnsi="Arial" w:cs="Arial"/>
          <w:b/>
          <w:bCs/>
          <w:sz w:val="24"/>
        </w:rPr>
        <w:t xml:space="preserve">Summary of Offline Discussion on </w:t>
      </w:r>
      <w:r>
        <w:rPr>
          <w:rFonts w:ascii="Arial" w:hAnsi="Arial" w:cs="Arial"/>
          <w:b/>
          <w:bCs/>
          <w:sz w:val="24"/>
        </w:rPr>
        <w:t>MLB parameter ranges</w:t>
      </w:r>
      <w:r w:rsidRPr="009C28A6">
        <w:rPr>
          <w:rFonts w:ascii="Arial" w:hAnsi="Arial" w:cs="Arial"/>
          <w:b/>
          <w:bCs/>
          <w:sz w:val="24"/>
        </w:rPr>
        <w:t xml:space="preserve"> (CB #1</w:t>
      </w:r>
      <w:r>
        <w:rPr>
          <w:rFonts w:ascii="Arial" w:hAnsi="Arial" w:cs="Arial"/>
          <w:b/>
          <w:bCs/>
          <w:sz w:val="24"/>
        </w:rPr>
        <w:t>8</w:t>
      </w:r>
      <w:r w:rsidRPr="009C28A6">
        <w:rPr>
          <w:rFonts w:ascii="Arial" w:hAnsi="Arial" w:cs="Arial"/>
          <w:b/>
          <w:bCs/>
          <w:sz w:val="24"/>
        </w:rPr>
        <w:t>)</w:t>
      </w:r>
    </w:p>
    <w:p w14:paraId="3C4BB3BD" w14:textId="77777777" w:rsidR="009C28A6" w:rsidRDefault="009C28A6" w:rsidP="009C28A6">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3B245D" w14:textId="77777777" w:rsidR="009C28A6" w:rsidRPr="00484DBF" w:rsidRDefault="009C28A6" w:rsidP="009C28A6">
      <w:pPr>
        <w:tabs>
          <w:tab w:val="left" w:pos="1985"/>
          <w:tab w:val="left" w:pos="2410"/>
        </w:tabs>
        <w:rPr>
          <w:rFonts w:ascii="Arial" w:hAnsi="Arial" w:cs="Arial"/>
          <w:bCs/>
          <w:sz w:val="24"/>
        </w:rPr>
      </w:pPr>
    </w:p>
    <w:p w14:paraId="0DDE1DD9" w14:textId="77777777" w:rsidR="00E82B21" w:rsidRDefault="009C28A6">
      <w:pPr>
        <w:spacing w:after="125" w:line="259" w:lineRule="auto"/>
        <w:ind w:left="0" w:firstLine="0"/>
      </w:pPr>
      <w:r>
        <w:rPr>
          <w:rFonts w:ascii="Calibri" w:eastAsia="Calibri" w:hAnsi="Calibri" w:cs="Calibri"/>
          <w:noProof/>
        </w:rPr>
        <mc:AlternateContent>
          <mc:Choice Requires="wpg">
            <w:drawing>
              <wp:inline distT="0" distB="0" distL="0" distR="0" wp14:anchorId="11D4BB75" wp14:editId="2928438F">
                <wp:extent cx="6120003" cy="12653"/>
                <wp:effectExtent l="0" t="0" r="0" b="0"/>
                <wp:docPr id="2478" name="Group 247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78"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14:paraId="1D2BBBEA" w14:textId="77777777" w:rsidR="00E82B21" w:rsidRDefault="009C28A6">
      <w:pPr>
        <w:pStyle w:val="Heading1"/>
        <w:tabs>
          <w:tab w:val="center" w:pos="2033"/>
        </w:tabs>
        <w:ind w:left="-15" w:firstLine="0"/>
      </w:pPr>
      <w:r>
        <w:t>1</w:t>
      </w:r>
      <w:r>
        <w:tab/>
        <w:t>Introduction</w:t>
      </w:r>
    </w:p>
    <w:p w14:paraId="31D4CEAF" w14:textId="77777777" w:rsidR="00E82B21" w:rsidRDefault="009C28A6">
      <w:pPr>
        <w:ind w:left="-5"/>
      </w:pPr>
      <w:r>
        <w:t>CB: # 18_HOreselParamRangesMLB</w:t>
      </w:r>
    </w:p>
    <w:p w14:paraId="4C09DEC6" w14:textId="77777777" w:rsidR="00E82B21" w:rsidRDefault="009C28A6">
      <w:pPr>
        <w:numPr>
          <w:ilvl w:val="0"/>
          <w:numId w:val="1"/>
        </w:numPr>
        <w:ind w:hanging="127"/>
      </w:pPr>
      <w:r>
        <w:t>(</w:t>
      </w:r>
      <w:proofErr w:type="spellStart"/>
      <w:r>
        <w:t>Nok</w:t>
      </w:r>
      <w:proofErr w:type="spellEnd"/>
      <w:r>
        <w:t>) OAM requirements for automatic parameter adaptation for NR SON should correspond to the requirements defined for LTE; no changes in the past 11 years (see R3-102518)</w:t>
      </w:r>
    </w:p>
    <w:p w14:paraId="31B42B8C" w14:textId="77777777" w:rsidR="00E82B21" w:rsidRDefault="009C28A6">
      <w:pPr>
        <w:numPr>
          <w:ilvl w:val="0"/>
          <w:numId w:val="1"/>
        </w:numPr>
        <w:ind w:hanging="127"/>
      </w:pPr>
      <w:r>
        <w:t>(HW) allowed range is defined by the allowed range of the handover triggers</w:t>
      </w:r>
    </w:p>
    <w:p w14:paraId="67F756A0" w14:textId="77777777" w:rsidR="00E82B21" w:rsidRDefault="009C28A6">
      <w:pPr>
        <w:numPr>
          <w:ilvl w:val="0"/>
          <w:numId w:val="1"/>
        </w:numPr>
        <w:spacing w:after="0"/>
        <w:ind w:hanging="127"/>
      </w:pPr>
      <w:r>
        <w:t>(E///) H</w:t>
      </w:r>
      <w:r>
        <w:t>O and/or reselection parameters SA5 should provide ranges to are the Maximum deviation of</w:t>
      </w:r>
    </w:p>
    <w:p w14:paraId="16C31DE1" w14:textId="77777777" w:rsidR="00E82B21" w:rsidRDefault="009C28A6">
      <w:pPr>
        <w:ind w:left="-5"/>
      </w:pPr>
      <w:r>
        <w:t>Handover Trigger and the Minimum time between Handover Trigger changes; clarify in st2</w:t>
      </w:r>
    </w:p>
    <w:p w14:paraId="565E0DD7" w14:textId="77777777" w:rsidR="00E82B21" w:rsidRDefault="009C28A6">
      <w:pPr>
        <w:ind w:left="-5"/>
      </w:pPr>
      <w:r>
        <w:t>(</w:t>
      </w:r>
      <w:proofErr w:type="spellStart"/>
      <w:r>
        <w:t>Nok</w:t>
      </w:r>
      <w:proofErr w:type="spellEnd"/>
      <w:r>
        <w:t xml:space="preserve"> - moderator)</w:t>
      </w:r>
    </w:p>
    <w:p w14:paraId="7145C76C" w14:textId="77777777" w:rsidR="00E82B21" w:rsidRDefault="009C28A6">
      <w:pPr>
        <w:ind w:left="-5"/>
      </w:pPr>
      <w:r>
        <w:t>[NWM] Summary of offline disc R3-212615</w:t>
      </w:r>
    </w:p>
    <w:p w14:paraId="1D005DAB" w14:textId="77777777" w:rsidR="00E82B21" w:rsidRDefault="009C28A6">
      <w:pPr>
        <w:spacing w:after="125" w:line="259" w:lineRule="auto"/>
        <w:ind w:left="0" w:firstLine="0"/>
      </w:pPr>
      <w:r>
        <w:rPr>
          <w:rFonts w:ascii="Calibri" w:eastAsia="Calibri" w:hAnsi="Calibri" w:cs="Calibri"/>
          <w:noProof/>
        </w:rPr>
        <mc:AlternateContent>
          <mc:Choice Requires="wpg">
            <w:drawing>
              <wp:inline distT="0" distB="0" distL="0" distR="0" wp14:anchorId="08B48671" wp14:editId="10964717">
                <wp:extent cx="6120003" cy="12653"/>
                <wp:effectExtent l="0" t="0" r="0" b="0"/>
                <wp:docPr id="2479" name="Group 247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79" style="width:481.89pt;height:0.9963pt;mso-position-horizontal-relative:char;mso-position-vertical-relative:line" coordsize="61200,126">
                <v:shape id="Shape 18" style="position:absolute;width:61200;height:0;left:0;top:0;" coordsize="6120003,0" path="m0,0l6120003,0">
                  <v:stroke weight="0.9963pt" endcap="flat" joinstyle="miter" miterlimit="10" on="true" color="#000000"/>
                  <v:fill on="false" color="#000000" opacity="0"/>
                </v:shape>
              </v:group>
            </w:pict>
          </mc:Fallback>
        </mc:AlternateContent>
      </w:r>
    </w:p>
    <w:p w14:paraId="32161E19" w14:textId="77777777" w:rsidR="00E82B21" w:rsidRDefault="009C28A6">
      <w:pPr>
        <w:pStyle w:val="Heading1"/>
        <w:tabs>
          <w:tab w:val="center" w:pos="3092"/>
        </w:tabs>
        <w:ind w:left="-15" w:firstLine="0"/>
      </w:pPr>
      <w:r>
        <w:t>2</w:t>
      </w:r>
      <w:r>
        <w:tab/>
        <w:t>For the Chairman’</w:t>
      </w:r>
      <w:r>
        <w:t>s Notes</w:t>
      </w:r>
    </w:p>
    <w:p w14:paraId="158D68AC" w14:textId="77777777" w:rsidR="00E82B21" w:rsidRDefault="009C28A6">
      <w:pPr>
        <w:ind w:left="-5"/>
      </w:pPr>
      <w:r>
        <w:t>It is proposed:</w:t>
      </w:r>
    </w:p>
    <w:p w14:paraId="6CF53BD0" w14:textId="77777777" w:rsidR="00E82B21" w:rsidRDefault="009C28A6">
      <w:pPr>
        <w:ind w:left="-5"/>
      </w:pPr>
      <w:r>
        <w:t>A response to SA5 is sent, where it is clarified that:</w:t>
      </w:r>
    </w:p>
    <w:p w14:paraId="170496A6" w14:textId="77777777" w:rsidR="00E82B21" w:rsidRDefault="009C28A6">
      <w:pPr>
        <w:numPr>
          <w:ilvl w:val="0"/>
          <w:numId w:val="2"/>
        </w:numPr>
      </w:pPr>
      <w:r>
        <w:t xml:space="preserve">The requirements provided in R3-205542 has not been changed, i.e. the Maximum deviation of </w:t>
      </w:r>
      <w:proofErr w:type="spellStart"/>
      <w:r>
        <w:t>HandoverTrigger</w:t>
      </w:r>
      <w:proofErr w:type="spellEnd"/>
      <w:r>
        <w:t xml:space="preserve"> and the </w:t>
      </w:r>
      <w:proofErr w:type="spellStart"/>
      <w:r>
        <w:t>Minumum</w:t>
      </w:r>
      <w:proofErr w:type="spellEnd"/>
      <w:r>
        <w:t xml:space="preserve"> time between Handover Trigger changes need to be contr</w:t>
      </w:r>
      <w:r>
        <w:t>olled by OAM.</w:t>
      </w:r>
    </w:p>
    <w:p w14:paraId="261409FD" w14:textId="77777777" w:rsidR="00E82B21" w:rsidRDefault="009C28A6">
      <w:pPr>
        <w:numPr>
          <w:ilvl w:val="0"/>
          <w:numId w:val="2"/>
        </w:numPr>
      </w:pPr>
      <w:r>
        <w:t xml:space="preserve">SA5 may consider requirements for LTE, as defined based on R3-102518, as a reference point, that </w:t>
      </w:r>
      <w:proofErr w:type="spellStart"/>
      <w:r>
        <w:t>NRrequires</w:t>
      </w:r>
      <w:proofErr w:type="spellEnd"/>
      <w:r>
        <w:t xml:space="preserve"> own definitions.</w:t>
      </w:r>
    </w:p>
    <w:p w14:paraId="69D004C7" w14:textId="77777777" w:rsidR="00E82B21" w:rsidRDefault="009C28A6">
      <w:pPr>
        <w:spacing w:after="281" w:line="258" w:lineRule="auto"/>
        <w:ind w:left="-5"/>
      </w:pPr>
      <w:r>
        <w:rPr>
          <w:b/>
        </w:rPr>
        <w:t xml:space="preserve">LS out in R3-212200 rev in R3-212840 - </w:t>
      </w:r>
      <w:r w:rsidRPr="009C28A6">
        <w:rPr>
          <w:b/>
          <w:color w:val="00B050"/>
        </w:rPr>
        <w:t xml:space="preserve">agreed </w:t>
      </w:r>
      <w:r>
        <w:rPr>
          <w:b/>
        </w:rPr>
        <w:t>(final)</w:t>
      </w:r>
    </w:p>
    <w:p w14:paraId="6C542646" w14:textId="77777777" w:rsidR="00E82B21" w:rsidRDefault="009C28A6">
      <w:pPr>
        <w:ind w:left="-5"/>
      </w:pPr>
      <w:r>
        <w:t>Possible further clarifications of the stage-2 requirements are FFS (contribution-driven).</w:t>
      </w:r>
    </w:p>
    <w:p w14:paraId="734D3F6A" w14:textId="77777777" w:rsidR="00E82B21" w:rsidRDefault="009C28A6">
      <w:pPr>
        <w:spacing w:after="125" w:line="259" w:lineRule="auto"/>
        <w:ind w:left="0" w:firstLine="0"/>
      </w:pPr>
      <w:r>
        <w:rPr>
          <w:rFonts w:ascii="Calibri" w:eastAsia="Calibri" w:hAnsi="Calibri" w:cs="Calibri"/>
          <w:noProof/>
        </w:rPr>
        <mc:AlternateContent>
          <mc:Choice Requires="wpg">
            <w:drawing>
              <wp:inline distT="0" distB="0" distL="0" distR="0" wp14:anchorId="7031ED02" wp14:editId="465E53A5">
                <wp:extent cx="6120003" cy="12653"/>
                <wp:effectExtent l="0" t="0" r="0" b="0"/>
                <wp:docPr id="2480" name="Group 248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8" name="Shape 2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480" style="width:481.89pt;height:0.9963pt;mso-position-horizontal-relative:char;mso-position-vertical-relative:line" coordsize="61200,126">
                <v:shape id="Shape 28" style="position:absolute;width:61200;height:0;left:0;top:0;" coordsize="6120003,0" path="m0,0l6120003,0">
                  <v:stroke weight="0.9963pt" endcap="flat" joinstyle="miter" miterlimit="10" on="true" color="#000000"/>
                  <v:fill on="false" color="#000000" opacity="0"/>
                </v:shape>
              </v:group>
            </w:pict>
          </mc:Fallback>
        </mc:AlternateContent>
      </w:r>
    </w:p>
    <w:p w14:paraId="7586CC9A" w14:textId="77777777" w:rsidR="00E82B21" w:rsidRDefault="009C28A6">
      <w:pPr>
        <w:pStyle w:val="Heading1"/>
        <w:tabs>
          <w:tab w:val="center" w:pos="1966"/>
        </w:tabs>
        <w:ind w:left="-15" w:firstLine="0"/>
      </w:pPr>
      <w:r>
        <w:lastRenderedPageBreak/>
        <w:t>3</w:t>
      </w:r>
      <w:r>
        <w:tab/>
        <w:t>Discussion</w:t>
      </w:r>
    </w:p>
    <w:p w14:paraId="4F641CF7" w14:textId="77777777" w:rsidR="00E82B21" w:rsidRDefault="009C28A6">
      <w:pPr>
        <w:ind w:left="-5"/>
      </w:pPr>
      <w:r>
        <w:t>RAN3 has received an LS from SA5 requesting guidance for the scopes of the mobility parameters that may be subject of SON actions [1].</w:t>
      </w:r>
    </w:p>
    <w:p w14:paraId="4EB814A9" w14:textId="77777777" w:rsidR="00E82B21" w:rsidRDefault="009C28A6">
      <w:pPr>
        <w:ind w:left="-5"/>
      </w:pPr>
      <w:r>
        <w:t>In [2], it is n</w:t>
      </w:r>
      <w:r>
        <w:t>oted that a very similar question was asked at the time the initial SON solutions for LTE were defined. At the time, RAN3 created a stage-2 definition that then was copied to NR, so it is expected that also the requirements for parameter ranges are the sam</w:t>
      </w:r>
      <w:r>
        <w:t>e.</w:t>
      </w:r>
    </w:p>
    <w:p w14:paraId="06FD6493" w14:textId="77777777" w:rsidR="00E82B21" w:rsidRDefault="009C28A6">
      <w:pPr>
        <w:spacing w:after="281" w:line="258" w:lineRule="auto"/>
        <w:ind w:left="-5"/>
      </w:pPr>
      <w:r>
        <w:rPr>
          <w:b/>
        </w:rPr>
        <w:t xml:space="preserve">Question 1: Do companies agree that the general requirements for parameters scopes in the OAM SON control are the same for NR as they were for LTE, if stage-2 requirements are the same (in short: up to implementation)? If yes, please explain the reason </w:t>
      </w:r>
      <w:r>
        <w:rPr>
          <w:b/>
        </w:rPr>
        <w:t>for different requirements.</w:t>
      </w:r>
    </w:p>
    <w:p w14:paraId="42081253" w14:textId="77777777" w:rsidR="00E82B21" w:rsidRDefault="009C28A6">
      <w:pPr>
        <w:spacing w:after="1" w:line="258" w:lineRule="auto"/>
        <w:ind w:left="1949" w:right="1382"/>
      </w:pPr>
      <w:r>
        <w:rPr>
          <w:b/>
        </w:rPr>
        <w:t>Feedback Form 1: Possible difference to LTE SON requirements</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E82B21" w14:paraId="531EB752" w14:textId="77777777">
        <w:trPr>
          <w:trHeight w:val="1551"/>
        </w:trPr>
        <w:tc>
          <w:tcPr>
            <w:tcW w:w="9614" w:type="dxa"/>
            <w:tcBorders>
              <w:top w:val="single" w:sz="10" w:space="0" w:color="000000"/>
              <w:left w:val="single" w:sz="10" w:space="0" w:color="000000"/>
              <w:bottom w:val="single" w:sz="3" w:space="0" w:color="000000"/>
              <w:right w:val="single" w:sz="10" w:space="0" w:color="000000"/>
            </w:tcBorders>
            <w:vAlign w:val="center"/>
          </w:tcPr>
          <w:p w14:paraId="4AB3D976" w14:textId="77777777" w:rsidR="00E82B21" w:rsidRDefault="009C28A6">
            <w:pPr>
              <w:spacing w:after="153" w:line="259" w:lineRule="auto"/>
              <w:ind w:left="0" w:firstLine="0"/>
            </w:pPr>
            <w:r>
              <w:rPr>
                <w:b/>
              </w:rPr>
              <w:t>1 – Nokia Poland</w:t>
            </w:r>
          </w:p>
          <w:p w14:paraId="70AA5F80" w14:textId="77777777" w:rsidR="00E82B21" w:rsidRDefault="009C28A6">
            <w:pPr>
              <w:spacing w:after="0" w:line="259" w:lineRule="auto"/>
              <w:ind w:left="109" w:right="1" w:firstLine="71"/>
              <w:jc w:val="both"/>
            </w:pPr>
            <w:r>
              <w:t>[Nokia] As explained in [2], the OAM requirements in stage-2 are identical for NR SON as they were in LTE SON. Considering that the LTE SON requiremen</w:t>
            </w:r>
            <w:r>
              <w:t>ts for OAM were defined in response to SA5’s question in 2010, it is reasonable to assume the response for NR SON should be about the same.</w:t>
            </w:r>
          </w:p>
        </w:tc>
      </w:tr>
      <w:tr w:rsidR="00E82B21" w14:paraId="2BDFA71B" w14:textId="77777777">
        <w:trPr>
          <w:trHeight w:val="1818"/>
        </w:trPr>
        <w:tc>
          <w:tcPr>
            <w:tcW w:w="9614" w:type="dxa"/>
            <w:tcBorders>
              <w:top w:val="single" w:sz="3" w:space="0" w:color="000000"/>
              <w:left w:val="single" w:sz="10" w:space="0" w:color="000000"/>
              <w:bottom w:val="single" w:sz="3" w:space="0" w:color="000000"/>
              <w:right w:val="single" w:sz="10" w:space="0" w:color="000000"/>
            </w:tcBorders>
            <w:vAlign w:val="center"/>
          </w:tcPr>
          <w:p w14:paraId="5C6BAE83" w14:textId="77777777" w:rsidR="00E82B21" w:rsidRDefault="009C28A6">
            <w:pPr>
              <w:spacing w:after="153" w:line="259" w:lineRule="auto"/>
              <w:ind w:left="0" w:firstLine="0"/>
            </w:pPr>
            <w:r>
              <w:rPr>
                <w:b/>
              </w:rPr>
              <w:t>2 – Ericsson-LG Co.</w:t>
            </w:r>
          </w:p>
          <w:p w14:paraId="2A12BCBF" w14:textId="77777777" w:rsidR="00E82B21" w:rsidRDefault="009C28A6">
            <w:pPr>
              <w:spacing w:after="0" w:line="259" w:lineRule="auto"/>
              <w:ind w:left="109" w:firstLine="67"/>
              <w:jc w:val="both"/>
            </w:pPr>
            <w:r>
              <w:t xml:space="preserve">We do not disagree with this approach, but to have clarity on the subject it would be better to spell out what parameters SA5 should tackle. We would suggest </w:t>
            </w:r>
            <w:proofErr w:type="gramStart"/>
            <w:r>
              <w:t>to avoid</w:t>
            </w:r>
            <w:proofErr w:type="gramEnd"/>
            <w:r>
              <w:t xml:space="preserve"> cross referencing to LTE and simply state what is needed in order to avoid any confusion.</w:t>
            </w:r>
            <w:r>
              <w:t xml:space="preserve"> Just like in LTE, the parameters SA5 needs to focus on are the Maximum deviation of Handover Trigger and the Minimum time between Handover Trigger changes</w:t>
            </w:r>
          </w:p>
        </w:tc>
      </w:tr>
      <w:tr w:rsidR="00E82B21" w14:paraId="1C997439" w14:textId="77777777">
        <w:trPr>
          <w:trHeight w:val="1819"/>
        </w:trPr>
        <w:tc>
          <w:tcPr>
            <w:tcW w:w="9614" w:type="dxa"/>
            <w:tcBorders>
              <w:top w:val="single" w:sz="3" w:space="0" w:color="000000"/>
              <w:left w:val="single" w:sz="10" w:space="0" w:color="000000"/>
              <w:bottom w:val="single" w:sz="3" w:space="0" w:color="000000"/>
              <w:right w:val="single" w:sz="10" w:space="0" w:color="000000"/>
            </w:tcBorders>
            <w:vAlign w:val="center"/>
          </w:tcPr>
          <w:p w14:paraId="3E1A87BB" w14:textId="77777777" w:rsidR="00E82B21" w:rsidRDefault="009C28A6">
            <w:pPr>
              <w:spacing w:after="153" w:line="259" w:lineRule="auto"/>
              <w:ind w:left="0" w:firstLine="0"/>
            </w:pPr>
            <w:r>
              <w:rPr>
                <w:b/>
              </w:rPr>
              <w:t>3 – ZTE Corporation</w:t>
            </w:r>
          </w:p>
          <w:p w14:paraId="1AD5F15E" w14:textId="77777777" w:rsidR="00E82B21" w:rsidRDefault="009C28A6">
            <w:pPr>
              <w:spacing w:after="0" w:line="259" w:lineRule="auto"/>
              <w:ind w:left="109" w:firstLine="65"/>
              <w:jc w:val="both"/>
            </w:pPr>
            <w:r>
              <w:t xml:space="preserve">Although the OAM requirements in stage-2 for NR SON are identical as that in LTE, we should clarify what parameters SA5 should provide ranges to in detail, i.e. the Maximum deviation of Handover Trigger and the </w:t>
            </w:r>
            <w:proofErr w:type="spellStart"/>
            <w:r>
              <w:t>Minumum</w:t>
            </w:r>
            <w:proofErr w:type="spellEnd"/>
            <w:r>
              <w:t xml:space="preserve"> time between Handover Trigger changes</w:t>
            </w:r>
            <w:r>
              <w:t>. However, as discussed in [4], a related LS has been agreed to send to SA5 in RAN3#109-e (R3-205542), why did SA5 not consider this LS before?</w:t>
            </w:r>
          </w:p>
        </w:tc>
      </w:tr>
      <w:tr w:rsidR="00E82B21" w14:paraId="2D78ACD2" w14:textId="77777777">
        <w:trPr>
          <w:trHeight w:val="1818"/>
        </w:trPr>
        <w:tc>
          <w:tcPr>
            <w:tcW w:w="9614" w:type="dxa"/>
            <w:tcBorders>
              <w:top w:val="single" w:sz="3" w:space="0" w:color="000000"/>
              <w:left w:val="single" w:sz="10" w:space="0" w:color="000000"/>
              <w:bottom w:val="single" w:sz="3" w:space="0" w:color="000000"/>
              <w:right w:val="single" w:sz="10" w:space="0" w:color="000000"/>
            </w:tcBorders>
            <w:vAlign w:val="center"/>
          </w:tcPr>
          <w:p w14:paraId="460C76B7" w14:textId="77777777" w:rsidR="00E82B21" w:rsidRDefault="009C28A6">
            <w:pPr>
              <w:spacing w:after="180" w:line="259" w:lineRule="auto"/>
              <w:ind w:left="0" w:firstLine="0"/>
            </w:pPr>
            <w:r>
              <w:rPr>
                <w:b/>
              </w:rPr>
              <w:t>4 – Huawei Technologies Sweden AB</w:t>
            </w:r>
          </w:p>
          <w:p w14:paraId="6733134F" w14:textId="77777777" w:rsidR="00E82B21" w:rsidRDefault="009C28A6">
            <w:pPr>
              <w:spacing w:after="0" w:line="259" w:lineRule="auto"/>
              <w:ind w:left="109" w:right="1" w:firstLine="41"/>
              <w:jc w:val="both"/>
            </w:pPr>
            <w:r>
              <w:t>We think we can also refer to the LS we just responded to SA5 where we stated</w:t>
            </w:r>
            <w:r>
              <w:t xml:space="preserve">: </w:t>
            </w:r>
            <w:r>
              <w:rPr>
                <w:i/>
              </w:rPr>
              <w:t>that the OAM requirements are aligned with the principles used for LTE where OAM provides the Maximum deviation of Handover Trigger and the Minimum time between Handover Trigger changes. Therefore, the latter two parameters are those RAN3 requests SA5 to</w:t>
            </w:r>
            <w:r>
              <w:rPr>
                <w:i/>
              </w:rPr>
              <w:t xml:space="preserve"> specify </w:t>
            </w:r>
            <w:proofErr w:type="gramStart"/>
            <w:r>
              <w:rPr>
                <w:i/>
              </w:rPr>
              <w:t>as a consequence of</w:t>
            </w:r>
            <w:proofErr w:type="gramEnd"/>
            <w:r>
              <w:rPr>
                <w:i/>
              </w:rPr>
              <w:t xml:space="preserve"> the text above, agreed in TS38.300.</w:t>
            </w:r>
          </w:p>
        </w:tc>
      </w:tr>
      <w:tr w:rsidR="00E82B21" w14:paraId="7752FAE1"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098AB614" w14:textId="77777777" w:rsidR="00E82B21" w:rsidRDefault="009C28A6">
            <w:pPr>
              <w:spacing w:after="153" w:line="259" w:lineRule="auto"/>
              <w:ind w:left="0" w:firstLine="0"/>
            </w:pPr>
            <w:r>
              <w:rPr>
                <w:b/>
              </w:rPr>
              <w:t>5 – Samsung R&amp;D Institute UK</w:t>
            </w:r>
          </w:p>
          <w:p w14:paraId="2977E32D" w14:textId="77777777" w:rsidR="00E82B21" w:rsidRDefault="009C28A6">
            <w:pPr>
              <w:spacing w:after="0" w:line="259" w:lineRule="auto"/>
              <w:ind w:left="164" w:firstLine="0"/>
            </w:pPr>
            <w:r>
              <w:t>Share the same view with HW and ZTE</w:t>
            </w:r>
          </w:p>
        </w:tc>
      </w:tr>
    </w:tbl>
    <w:p w14:paraId="456F7928" w14:textId="77777777" w:rsidR="00E82B21" w:rsidRDefault="009C28A6">
      <w:pPr>
        <w:ind w:left="-5"/>
      </w:pPr>
      <w:r>
        <w:t xml:space="preserve">In [4] and [6], it is proposed to refer respond that the parameter ranges shall enable full range of the Mobility Trigger (and minimal time interval between the changes [6]). </w:t>
      </w:r>
      <w:proofErr w:type="gramStart"/>
      <w:r>
        <w:t>Also</w:t>
      </w:r>
      <w:proofErr w:type="gramEnd"/>
      <w:r>
        <w:t xml:space="preserve"> an exchange of </w:t>
      </w:r>
      <w:proofErr w:type="spellStart"/>
      <w:r>
        <w:t>LSes</w:t>
      </w:r>
      <w:proofErr w:type="spellEnd"/>
      <w:r>
        <w:t xml:space="preserve"> from the earlier stages of NR SON development is referre</w:t>
      </w:r>
      <w:r>
        <w:t>d to [4].</w:t>
      </w:r>
    </w:p>
    <w:p w14:paraId="6087D144" w14:textId="77777777" w:rsidR="00E82B21" w:rsidRDefault="009C28A6">
      <w:pPr>
        <w:spacing w:after="281" w:line="258" w:lineRule="auto"/>
        <w:ind w:left="-5"/>
      </w:pPr>
      <w:r>
        <w:rPr>
          <w:b/>
        </w:rPr>
        <w:t>Question 2: Do companies agree that the guidance concerning enabling full range of the Mobility Trigger need to be provided? Should it be done as a clarification for the reference to the response related to the LTE SON, or instead of it?</w:t>
      </w:r>
    </w:p>
    <w:p w14:paraId="55740075" w14:textId="77777777" w:rsidR="00E82B21" w:rsidRDefault="009C28A6">
      <w:pPr>
        <w:spacing w:after="345" w:line="258" w:lineRule="auto"/>
        <w:ind w:left="1949" w:right="1564"/>
      </w:pPr>
      <w:r>
        <w:rPr>
          <w:b/>
        </w:rPr>
        <w:lastRenderedPageBreak/>
        <w:t>Feedback Form 2: Clarification of the LTE requirements or new requirements for OAM</w:t>
      </w:r>
    </w:p>
    <w:p w14:paraId="5E4271C7" w14:textId="77777777" w:rsidR="00E82B21" w:rsidRDefault="009C28A6">
      <w:pPr>
        <w:pStyle w:val="Heading2"/>
        <w:ind w:left="208" w:right="72"/>
      </w:pPr>
      <w:r>
        <w:t>1 – Nokia Poland</w:t>
      </w:r>
    </w:p>
    <w:p w14:paraId="3613C100" w14:textId="77777777" w:rsidR="00E82B21" w:rsidRDefault="009C28A6">
      <w:pPr>
        <w:pBdr>
          <w:top w:val="single" w:sz="10" w:space="0" w:color="000000"/>
          <w:left w:val="single" w:sz="10" w:space="0" w:color="000000"/>
          <w:right w:val="single" w:sz="10" w:space="0" w:color="000000"/>
        </w:pBdr>
        <w:spacing w:after="0" w:line="257" w:lineRule="auto"/>
        <w:ind w:left="208" w:right="72" w:firstLine="69"/>
        <w:jc w:val="both"/>
      </w:pPr>
      <w:r>
        <w:t>[Nokia] We don’t think it is needed to provide further guidance (as compared to the response provided in 2010), but if it is desired, it is all right for us</w:t>
      </w:r>
      <w:r>
        <w:t xml:space="preserve"> to clarify the response with the reference to the Mobility trigger range. However, we think the response provided in 2010 should be referred to, too – unless proved to be outdated, but that shall be explained.</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E82B21" w14:paraId="56854E8E"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2EDFF172" w14:textId="77777777" w:rsidR="00E82B21" w:rsidRDefault="009C28A6">
            <w:pPr>
              <w:spacing w:after="153" w:line="259" w:lineRule="auto"/>
              <w:ind w:left="0" w:firstLine="0"/>
            </w:pPr>
            <w:r>
              <w:rPr>
                <w:b/>
              </w:rPr>
              <w:t>2 – Ericsson-LG Co.</w:t>
            </w:r>
          </w:p>
          <w:p w14:paraId="603E7116" w14:textId="77777777" w:rsidR="00E82B21" w:rsidRDefault="009C28A6">
            <w:pPr>
              <w:spacing w:after="0" w:line="259" w:lineRule="auto"/>
              <w:ind w:left="109" w:firstLine="51"/>
              <w:jc w:val="both"/>
            </w:pPr>
            <w:r>
              <w:t>As specified in [8] the parameters of interest to SA5 are the Maximum deviation of Handover Trigger and the Minimum time between Handover Trigger changes. This is what we should convey in the reply LS</w:t>
            </w:r>
          </w:p>
        </w:tc>
      </w:tr>
      <w:tr w:rsidR="00E82B21" w14:paraId="3C588CC9"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53237733" w14:textId="77777777" w:rsidR="00E82B21" w:rsidRDefault="009C28A6">
            <w:pPr>
              <w:spacing w:after="153" w:line="259" w:lineRule="auto"/>
              <w:ind w:left="0" w:firstLine="0"/>
            </w:pPr>
            <w:r>
              <w:rPr>
                <w:b/>
              </w:rPr>
              <w:t>3 – ZTE Corporation</w:t>
            </w:r>
          </w:p>
          <w:p w14:paraId="12A0C2A9" w14:textId="77777777" w:rsidR="00E82B21" w:rsidRDefault="009C28A6">
            <w:pPr>
              <w:spacing w:after="0" w:line="259" w:lineRule="auto"/>
              <w:ind w:left="109" w:firstLine="68"/>
              <w:jc w:val="both"/>
            </w:pPr>
            <w:r>
              <w:t>As discussed in Question 1, a reply LS could be needed for clarification. But the relation between this reply LS and the agreed LS in RAN3#109-e should be clarified to avoid duplication work.</w:t>
            </w:r>
          </w:p>
        </w:tc>
      </w:tr>
      <w:tr w:rsidR="00E82B21" w14:paraId="60C8C832"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C1DC81F" w14:textId="77777777" w:rsidR="00E82B21" w:rsidRDefault="009C28A6">
            <w:pPr>
              <w:spacing w:after="153" w:line="259" w:lineRule="auto"/>
              <w:ind w:left="0" w:firstLine="0"/>
            </w:pPr>
            <w:r>
              <w:rPr>
                <w:b/>
              </w:rPr>
              <w:t>4 – Huawei Technologies Sweden AB</w:t>
            </w:r>
          </w:p>
          <w:p w14:paraId="0D932395" w14:textId="77777777" w:rsidR="00E82B21" w:rsidRDefault="009C28A6">
            <w:pPr>
              <w:spacing w:after="0" w:line="259" w:lineRule="auto"/>
              <w:ind w:left="164" w:firstLine="0"/>
            </w:pPr>
            <w:r>
              <w:t>WE can mention both the param</w:t>
            </w:r>
            <w:r>
              <w:t>eters and that the same principle remains</w:t>
            </w:r>
          </w:p>
        </w:tc>
      </w:tr>
      <w:tr w:rsidR="00E82B21" w14:paraId="6233F778" w14:textId="77777777">
        <w:trPr>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11B5016E" w14:textId="77777777" w:rsidR="00E82B21" w:rsidRDefault="009C28A6">
            <w:pPr>
              <w:spacing w:after="153" w:line="259" w:lineRule="auto"/>
              <w:ind w:left="0" w:firstLine="0"/>
            </w:pPr>
            <w:r>
              <w:rPr>
                <w:b/>
              </w:rPr>
              <w:t>5 – Huawei Technologies Sweden AB</w:t>
            </w:r>
          </w:p>
          <w:p w14:paraId="68049593" w14:textId="77777777" w:rsidR="00E82B21" w:rsidRDefault="009C28A6">
            <w:pPr>
              <w:spacing w:after="88" w:line="259" w:lineRule="auto"/>
              <w:ind w:left="164" w:firstLine="0"/>
            </w:pPr>
            <w:r>
              <w:t>#</w:t>
            </w:r>
            <w:proofErr w:type="gramStart"/>
            <w:r>
              <w:t>3 :</w:t>
            </w:r>
            <w:proofErr w:type="gramEnd"/>
          </w:p>
          <w:p w14:paraId="12EB2696" w14:textId="77777777" w:rsidR="00E82B21" w:rsidRDefault="009C28A6">
            <w:pPr>
              <w:spacing w:after="0" w:line="259" w:lineRule="auto"/>
              <w:ind w:left="109" w:firstLine="0"/>
            </w:pPr>
            <w:r>
              <w:t xml:space="preserve">Also agree with ZTE that </w:t>
            </w:r>
            <w:proofErr w:type="spellStart"/>
            <w:proofErr w:type="gramStart"/>
            <w:r>
              <w:t>it</w:t>
            </w:r>
            <w:proofErr w:type="gramEnd"/>
            <w:r>
              <w:t xml:space="preserve"> s</w:t>
            </w:r>
            <w:proofErr w:type="spellEnd"/>
            <w:r>
              <w:t xml:space="preserve"> good to refer to the recent LS</w:t>
            </w:r>
          </w:p>
        </w:tc>
      </w:tr>
      <w:tr w:rsidR="00E82B21" w14:paraId="65901B5A"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7EA9B286" w14:textId="77777777" w:rsidR="00E82B21" w:rsidRDefault="009C28A6">
            <w:pPr>
              <w:spacing w:after="153" w:line="259" w:lineRule="auto"/>
              <w:ind w:left="0" w:firstLine="0"/>
            </w:pPr>
            <w:r>
              <w:rPr>
                <w:b/>
              </w:rPr>
              <w:t>6 – Samsung R&amp;D Institute UK</w:t>
            </w:r>
          </w:p>
          <w:p w14:paraId="4F32A927" w14:textId="77777777" w:rsidR="00E82B21" w:rsidRDefault="009C28A6">
            <w:pPr>
              <w:spacing w:after="0" w:line="259" w:lineRule="auto"/>
              <w:ind w:left="164" w:firstLine="0"/>
            </w:pPr>
            <w:r>
              <w:t>Agree with ZTE</w:t>
            </w:r>
          </w:p>
        </w:tc>
      </w:tr>
    </w:tbl>
    <w:p w14:paraId="647631E5" w14:textId="77777777" w:rsidR="00E82B21" w:rsidRDefault="009C28A6">
      <w:pPr>
        <w:ind w:left="-5"/>
      </w:pPr>
      <w:r>
        <w:t>Finally, in [7], it is proposed to clarify stage-2 description even further (it is spelled out that the OAM control should enable full range of the Mobility Trigger and min time interval between the changes).</w:t>
      </w:r>
    </w:p>
    <w:p w14:paraId="2565151B" w14:textId="77777777" w:rsidR="00E82B21" w:rsidRDefault="009C28A6">
      <w:pPr>
        <w:spacing w:after="281" w:line="258" w:lineRule="auto"/>
        <w:ind w:left="-5"/>
      </w:pPr>
      <w:r>
        <w:rPr>
          <w:b/>
        </w:rPr>
        <w:t>Question 3: Do companies see the need to clarif</w:t>
      </w:r>
      <w:r>
        <w:rPr>
          <w:b/>
        </w:rPr>
        <w:t>y the requirements for OAM in stage-2 even further?</w:t>
      </w:r>
    </w:p>
    <w:p w14:paraId="31E76A67" w14:textId="77777777" w:rsidR="00E82B21" w:rsidRDefault="009C28A6">
      <w:pPr>
        <w:spacing w:after="1" w:line="258" w:lineRule="auto"/>
        <w:ind w:left="1949"/>
      </w:pPr>
      <w:r>
        <w:rPr>
          <w:b/>
        </w:rPr>
        <w:t>Feedback Form 3: Further stage-2 clarification</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E82B21" w14:paraId="18547067"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15E9B0BC" w14:textId="77777777" w:rsidR="00E82B21" w:rsidRDefault="009C28A6">
            <w:pPr>
              <w:spacing w:after="153" w:line="259" w:lineRule="auto"/>
              <w:ind w:left="0" w:firstLine="0"/>
            </w:pPr>
            <w:r>
              <w:rPr>
                <w:b/>
              </w:rPr>
              <w:t>1 – Nokia Poland</w:t>
            </w:r>
          </w:p>
          <w:p w14:paraId="412DE26E" w14:textId="77777777" w:rsidR="00E82B21" w:rsidRDefault="009C28A6">
            <w:pPr>
              <w:spacing w:after="0" w:line="259" w:lineRule="auto"/>
              <w:ind w:left="109" w:firstLine="81"/>
              <w:jc w:val="both"/>
            </w:pPr>
            <w:r>
              <w:t>[Nokia] No, we don’t think any specific clarification for NR SON is needed. The same requirement declaration for LTE SON has not triggered a</w:t>
            </w:r>
            <w:r>
              <w:t>ny problems so far.</w:t>
            </w:r>
          </w:p>
        </w:tc>
      </w:tr>
      <w:tr w:rsidR="00E82B21" w14:paraId="2385144E" w14:textId="77777777">
        <w:trPr>
          <w:trHeight w:val="2902"/>
        </w:trPr>
        <w:tc>
          <w:tcPr>
            <w:tcW w:w="9614" w:type="dxa"/>
            <w:tcBorders>
              <w:top w:val="single" w:sz="3" w:space="0" w:color="000000"/>
              <w:left w:val="single" w:sz="10" w:space="0" w:color="000000"/>
              <w:bottom w:val="single" w:sz="3" w:space="0" w:color="000000"/>
              <w:right w:val="single" w:sz="10" w:space="0" w:color="000000"/>
            </w:tcBorders>
            <w:vAlign w:val="center"/>
          </w:tcPr>
          <w:p w14:paraId="7A68DC1B" w14:textId="77777777" w:rsidR="00E82B21" w:rsidRDefault="009C28A6">
            <w:pPr>
              <w:spacing w:after="153" w:line="259" w:lineRule="auto"/>
              <w:ind w:left="0" w:firstLine="0"/>
            </w:pPr>
            <w:r>
              <w:rPr>
                <w:b/>
              </w:rPr>
              <w:lastRenderedPageBreak/>
              <w:t>2 – Ericsson-LG Co.</w:t>
            </w:r>
          </w:p>
          <w:p w14:paraId="23D0FCF5" w14:textId="77777777" w:rsidR="00E82B21" w:rsidRDefault="009C28A6">
            <w:pPr>
              <w:spacing w:after="0" w:line="259" w:lineRule="auto"/>
              <w:ind w:left="109" w:firstLine="47"/>
              <w:jc w:val="both"/>
            </w:pPr>
            <w:r>
              <w:t>Section ”15.5.1.4 Adapting handover and/or reselection configuration” of TS38.300, which describes how HO/reselection configuration is managed, states that ”All automatic changes on the HO and/or reselection parameters must be within the range allowed by O</w:t>
            </w:r>
            <w:r>
              <w:t xml:space="preserve">AM.”, without specifying what are the parameters OAM can modify. In order to avoid future </w:t>
            </w:r>
            <w:proofErr w:type="gramStart"/>
            <w:r>
              <w:t>confusion</w:t>
            </w:r>
            <w:proofErr w:type="gramEnd"/>
            <w:r>
              <w:t xml:space="preserve"> it would be good to clarify in TS38.300 what these parameters are, especially when RAN3 has consensus on the range of parameters in question. Relying on a r</w:t>
            </w:r>
            <w:r>
              <w:t>eply LS from 2010 is not optimal, as anyone not exposed to that discussion would not know about that LS. Ultimately, RAN3 needs to guarantee clarity in the specifications, independently of LS content. We therefore support the very simple clarification in [</w:t>
            </w:r>
            <w:r>
              <w:t>7]</w:t>
            </w:r>
          </w:p>
        </w:tc>
      </w:tr>
      <w:tr w:rsidR="00E82B21" w14:paraId="217082EF"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4368AAE2" w14:textId="77777777" w:rsidR="00E82B21" w:rsidRDefault="009C28A6">
            <w:pPr>
              <w:spacing w:after="0" w:line="259" w:lineRule="auto"/>
              <w:ind w:left="164" w:right="6675" w:hanging="164"/>
            </w:pPr>
            <w:r>
              <w:rPr>
                <w:b/>
              </w:rPr>
              <w:t xml:space="preserve">3 – ZTE Corporation </w:t>
            </w:r>
            <w:r>
              <w:t>Same opinion as Question 2.</w:t>
            </w:r>
          </w:p>
        </w:tc>
      </w:tr>
      <w:tr w:rsidR="00E82B21" w14:paraId="01FBDAFB"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745BD4B3" w14:textId="77777777" w:rsidR="00E82B21" w:rsidRDefault="009C28A6">
            <w:pPr>
              <w:spacing w:after="0" w:line="259" w:lineRule="auto"/>
              <w:ind w:left="164" w:right="5392" w:hanging="164"/>
            </w:pPr>
            <w:r>
              <w:rPr>
                <w:b/>
              </w:rPr>
              <w:t xml:space="preserve">4 – Huawei Technologies Sweden AB </w:t>
            </w:r>
            <w:r>
              <w:t>Agree with NOK - no change needed</w:t>
            </w:r>
          </w:p>
        </w:tc>
      </w:tr>
    </w:tbl>
    <w:p w14:paraId="360C7DB7" w14:textId="77777777" w:rsidR="00E82B21" w:rsidRDefault="009C28A6">
      <w:pPr>
        <w:pBdr>
          <w:top w:val="single" w:sz="3" w:space="0" w:color="000000"/>
          <w:left w:val="single" w:sz="10" w:space="0" w:color="000000"/>
          <w:bottom w:val="single" w:sz="10" w:space="0" w:color="000000"/>
          <w:right w:val="single" w:sz="10" w:space="0" w:color="000000"/>
        </w:pBdr>
        <w:spacing w:after="153" w:line="259" w:lineRule="auto"/>
        <w:ind w:left="236" w:firstLine="0"/>
      </w:pPr>
      <w:r>
        <w:rPr>
          <w:b/>
        </w:rPr>
        <w:t>5 – Samsung R&amp;D Institute UK</w:t>
      </w:r>
    </w:p>
    <w:p w14:paraId="183FA79B" w14:textId="77777777" w:rsidR="00E82B21" w:rsidRDefault="009C28A6">
      <w:pPr>
        <w:pBdr>
          <w:top w:val="single" w:sz="3" w:space="0" w:color="000000"/>
          <w:left w:val="single" w:sz="10" w:space="0" w:color="000000"/>
          <w:bottom w:val="single" w:sz="10" w:space="0" w:color="000000"/>
          <w:right w:val="single" w:sz="10" w:space="0" w:color="000000"/>
        </w:pBdr>
        <w:spacing w:after="463" w:line="259" w:lineRule="auto"/>
        <w:ind w:left="236" w:firstLine="0"/>
      </w:pPr>
      <w:r>
        <w:t>Agree with Nokia and HW</w:t>
      </w:r>
    </w:p>
    <w:p w14:paraId="5D0DB2C8" w14:textId="77777777" w:rsidR="00E82B21" w:rsidRDefault="009C28A6">
      <w:pPr>
        <w:spacing w:after="125" w:line="259" w:lineRule="auto"/>
        <w:ind w:left="0" w:firstLine="0"/>
      </w:pPr>
      <w:r>
        <w:rPr>
          <w:rFonts w:ascii="Calibri" w:eastAsia="Calibri" w:hAnsi="Calibri" w:cs="Calibri"/>
          <w:noProof/>
        </w:rPr>
        <mc:AlternateContent>
          <mc:Choice Requires="wpg">
            <w:drawing>
              <wp:inline distT="0" distB="0" distL="0" distR="0" wp14:anchorId="2BBBCCC4" wp14:editId="5EAB3D4A">
                <wp:extent cx="6120003" cy="12653"/>
                <wp:effectExtent l="0" t="0" r="0" b="0"/>
                <wp:docPr id="2619" name="Group 26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0" name="Shape 22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19" style="width:481.89pt;height:0.9963pt;mso-position-horizontal-relative:char;mso-position-vertical-relative:line" coordsize="61200,126">
                <v:shape id="Shape 220" style="position:absolute;width:61200;height:0;left:0;top:0;" coordsize="6120003,0" path="m0,0l6120003,0">
                  <v:stroke weight="0.9963pt" endcap="flat" joinstyle="miter" miterlimit="10" on="true" color="#000000"/>
                  <v:fill on="false" color="#000000" opacity="0"/>
                </v:shape>
              </v:group>
            </w:pict>
          </mc:Fallback>
        </mc:AlternateContent>
      </w:r>
    </w:p>
    <w:p w14:paraId="71909BD0" w14:textId="77777777" w:rsidR="00E82B21" w:rsidRDefault="009C28A6">
      <w:pPr>
        <w:pStyle w:val="Heading1"/>
        <w:tabs>
          <w:tab w:val="center" w:pos="1985"/>
        </w:tabs>
        <w:ind w:left="-15" w:firstLine="0"/>
      </w:pPr>
      <w:r>
        <w:t>4</w:t>
      </w:r>
      <w:r>
        <w:tab/>
        <w:t>Conclusion</w:t>
      </w:r>
    </w:p>
    <w:p w14:paraId="53B66FC0" w14:textId="77777777" w:rsidR="00E82B21" w:rsidRDefault="009C28A6">
      <w:pPr>
        <w:ind w:left="-5"/>
      </w:pPr>
      <w:r>
        <w:t>If needed</w:t>
      </w:r>
    </w:p>
    <w:p w14:paraId="18E9F5E3" w14:textId="77777777" w:rsidR="00E82B21" w:rsidRDefault="009C28A6">
      <w:pPr>
        <w:spacing w:after="125" w:line="259" w:lineRule="auto"/>
        <w:ind w:left="0" w:firstLine="0"/>
      </w:pPr>
      <w:r>
        <w:rPr>
          <w:rFonts w:ascii="Calibri" w:eastAsia="Calibri" w:hAnsi="Calibri" w:cs="Calibri"/>
          <w:noProof/>
        </w:rPr>
        <mc:AlternateContent>
          <mc:Choice Requires="wpg">
            <w:drawing>
              <wp:inline distT="0" distB="0" distL="0" distR="0" wp14:anchorId="6A5B21A9" wp14:editId="4527522C">
                <wp:extent cx="6120003" cy="12653"/>
                <wp:effectExtent l="0" t="0" r="0" b="0"/>
                <wp:docPr id="2622" name="Group 262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3" name="Shape 223"/>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22" style="width:481.89pt;height:0.9963pt;mso-position-horizontal-relative:char;mso-position-vertical-relative:line" coordsize="61200,126">
                <v:shape id="Shape 223" style="position:absolute;width:61200;height:0;left:0;top:0;" coordsize="6120003,0" path="m0,0l6120003,0">
                  <v:stroke weight="0.9963pt" endcap="flat" joinstyle="miter" miterlimit="10" on="true" color="#000000"/>
                  <v:fill on="false" color="#000000" opacity="0"/>
                </v:shape>
              </v:group>
            </w:pict>
          </mc:Fallback>
        </mc:AlternateContent>
      </w:r>
    </w:p>
    <w:p w14:paraId="628AD6D6" w14:textId="77777777" w:rsidR="00E82B21" w:rsidRDefault="009C28A6">
      <w:pPr>
        <w:pStyle w:val="Heading1"/>
        <w:tabs>
          <w:tab w:val="center" w:pos="2014"/>
        </w:tabs>
        <w:ind w:left="-15" w:firstLine="0"/>
      </w:pPr>
      <w:r>
        <w:t>5</w:t>
      </w:r>
      <w:r>
        <w:tab/>
        <w:t>References</w:t>
      </w:r>
    </w:p>
    <w:p w14:paraId="0360B3A0" w14:textId="77777777" w:rsidR="00E82B21" w:rsidRDefault="009C28A6">
      <w:pPr>
        <w:numPr>
          <w:ilvl w:val="0"/>
          <w:numId w:val="3"/>
        </w:numPr>
        <w:ind w:hanging="309"/>
      </w:pPr>
      <w:r>
        <w:t>R3-211468, “LS on the clarification of HO and/or reselection parameters ranges required by MLB” (3GPP SA5), RAN3 #112</w:t>
      </w:r>
    </w:p>
    <w:p w14:paraId="2FD7B979" w14:textId="77777777" w:rsidR="00E82B21" w:rsidRDefault="009C28A6">
      <w:pPr>
        <w:numPr>
          <w:ilvl w:val="0"/>
          <w:numId w:val="3"/>
        </w:numPr>
        <w:ind w:hanging="309"/>
      </w:pPr>
      <w:r>
        <w:t>R3-211508, “Ranges for mobility parameters for SON MLB/MRO” (Nokia, Nokia Shanghai Bell), RAN3 #112</w:t>
      </w:r>
    </w:p>
    <w:p w14:paraId="01F32137" w14:textId="77777777" w:rsidR="00E82B21" w:rsidRDefault="009C28A6">
      <w:pPr>
        <w:numPr>
          <w:ilvl w:val="0"/>
          <w:numId w:val="3"/>
        </w:numPr>
        <w:spacing w:after="0"/>
        <w:ind w:hanging="309"/>
      </w:pPr>
      <w:r>
        <w:t>R3-211509, “Response LS on the clarifi</w:t>
      </w:r>
      <w:r>
        <w:t>cation of HO and/or reselection parameters ranges required by</w:t>
      </w:r>
    </w:p>
    <w:p w14:paraId="674DEEAE" w14:textId="77777777" w:rsidR="00E82B21" w:rsidRDefault="009C28A6">
      <w:pPr>
        <w:ind w:left="-5"/>
      </w:pPr>
      <w:r>
        <w:t>MLB” (Nokia, Nokia Shanghai Bell), RAN3 #112</w:t>
      </w:r>
    </w:p>
    <w:p w14:paraId="33CA6FCB" w14:textId="77777777" w:rsidR="00E82B21" w:rsidRDefault="009C28A6">
      <w:pPr>
        <w:numPr>
          <w:ilvl w:val="0"/>
          <w:numId w:val="3"/>
        </w:numPr>
        <w:ind w:hanging="309"/>
      </w:pPr>
      <w:r>
        <w:t>R3-212199, “HO and/or reselection parameters ranges required by MLB” (Huawei), RAN3 #112</w:t>
      </w:r>
    </w:p>
    <w:p w14:paraId="782F7C69" w14:textId="77777777" w:rsidR="00E82B21" w:rsidRDefault="009C28A6">
      <w:pPr>
        <w:numPr>
          <w:ilvl w:val="0"/>
          <w:numId w:val="3"/>
        </w:numPr>
        <w:ind w:hanging="309"/>
      </w:pPr>
      <w:r>
        <w:t>R3-212200, “[draft] Reply LS on the clarification of HO and/or reselection parameters ranges required by MLB” (Huawei), RAN3 #112</w:t>
      </w:r>
    </w:p>
    <w:p w14:paraId="50C4B4CA" w14:textId="77777777" w:rsidR="00E82B21" w:rsidRDefault="009C28A6">
      <w:pPr>
        <w:numPr>
          <w:ilvl w:val="0"/>
          <w:numId w:val="3"/>
        </w:numPr>
        <w:ind w:hanging="309"/>
      </w:pPr>
      <w:r>
        <w:t>R3-212318, “Clarifications on OAM inv</w:t>
      </w:r>
      <w:r>
        <w:t>olvement in HO and Reselection parameters configuration for MLB” (Ericsson), RAN3 #112</w:t>
      </w:r>
    </w:p>
    <w:p w14:paraId="255891E9" w14:textId="77777777" w:rsidR="00E82B21" w:rsidRDefault="009C28A6">
      <w:pPr>
        <w:numPr>
          <w:ilvl w:val="0"/>
          <w:numId w:val="3"/>
        </w:numPr>
        <w:ind w:hanging="309"/>
      </w:pPr>
      <w:r>
        <w:t>R3-212319, “Correction on handover and/or reselection configuration for MLB” (Ericsson), RAN3 #112</w:t>
      </w:r>
    </w:p>
    <w:p w14:paraId="51E25A08" w14:textId="77777777" w:rsidR="00E82B21" w:rsidRDefault="009C28A6">
      <w:pPr>
        <w:numPr>
          <w:ilvl w:val="0"/>
          <w:numId w:val="3"/>
        </w:numPr>
        <w:spacing w:after="0"/>
        <w:ind w:hanging="309"/>
      </w:pPr>
      <w:r>
        <w:t>R3-212312, “Reply LS on the clarification of HO and/or reselection par</w:t>
      </w:r>
      <w:r>
        <w:t>ameters ranges required by MLB”</w:t>
      </w:r>
    </w:p>
    <w:p w14:paraId="73A4BC32" w14:textId="77777777" w:rsidR="00E82B21" w:rsidRDefault="009C28A6">
      <w:pPr>
        <w:ind w:left="-5"/>
      </w:pPr>
      <w:r>
        <w:lastRenderedPageBreak/>
        <w:t>(Ericsson), RAN3 #112</w:t>
      </w:r>
    </w:p>
    <w:sectPr w:rsidR="00E82B21">
      <w:footerReference w:type="even" r:id="rId7"/>
      <w:footerReference w:type="default" r:id="rId8"/>
      <w:footerReference w:type="first" r:id="rId9"/>
      <w:pgSz w:w="11906" w:h="16838"/>
      <w:pgMar w:top="1421" w:right="1133" w:bottom="1158"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36BAF" w14:textId="77777777" w:rsidR="00000000" w:rsidRDefault="009C28A6">
      <w:pPr>
        <w:spacing w:after="0" w:line="240" w:lineRule="auto"/>
      </w:pPr>
      <w:r>
        <w:separator/>
      </w:r>
    </w:p>
  </w:endnote>
  <w:endnote w:type="continuationSeparator" w:id="0">
    <w:p w14:paraId="1DD23058" w14:textId="77777777" w:rsidR="00000000" w:rsidRDefault="009C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64D5E" w14:textId="77777777" w:rsidR="00E82B21" w:rsidRDefault="009C28A6">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3021" w14:textId="77777777" w:rsidR="00E82B21" w:rsidRDefault="009C28A6">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0ECBF" w14:textId="77777777" w:rsidR="00E82B21" w:rsidRDefault="009C28A6">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82C8B" w14:textId="77777777" w:rsidR="00000000" w:rsidRDefault="009C28A6">
      <w:pPr>
        <w:spacing w:after="0" w:line="240" w:lineRule="auto"/>
      </w:pPr>
      <w:r>
        <w:separator/>
      </w:r>
    </w:p>
  </w:footnote>
  <w:footnote w:type="continuationSeparator" w:id="0">
    <w:p w14:paraId="4646EAD9" w14:textId="77777777" w:rsidR="00000000" w:rsidRDefault="009C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6C5680"/>
    <w:multiLevelType w:val="hybridMultilevel"/>
    <w:tmpl w:val="82BE1C54"/>
    <w:lvl w:ilvl="0" w:tplc="3454C196">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EC7C1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80361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30412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3CD3D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318E78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309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462D3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B4BF2C">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EBF32A1"/>
    <w:multiLevelType w:val="hybridMultilevel"/>
    <w:tmpl w:val="FE2CA032"/>
    <w:lvl w:ilvl="0" w:tplc="26DC22C6">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6FE825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46B7B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5231F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D0D6F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F2112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AB8519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589A2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12B27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6F06A7D"/>
    <w:multiLevelType w:val="hybridMultilevel"/>
    <w:tmpl w:val="22BCFEAC"/>
    <w:lvl w:ilvl="0" w:tplc="D7F6724E">
      <w:start w:val="1"/>
      <w:numFmt w:val="decimal"/>
      <w:lvlText w:val="[%1]"/>
      <w:lvlJc w:val="left"/>
      <w:pPr>
        <w:ind w:left="3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E24A6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7BAB07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B2DF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B214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42A22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22534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FD8DB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0AB2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B21"/>
    <w:rsid w:val="009C28A6"/>
    <w:rsid w:val="00E82B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91A86"/>
  <w15:docId w15:val="{971DA4BE-B61F-492B-B6AB-A585C9C3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7"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pBdr>
        <w:top w:val="single" w:sz="10" w:space="0" w:color="000000"/>
        <w:left w:val="single" w:sz="10" w:space="0" w:color="000000"/>
        <w:right w:val="single" w:sz="10" w:space="0" w:color="000000"/>
      </w:pBdr>
      <w:spacing w:after="153"/>
      <w:ind w:left="154"/>
      <w:outlineLvl w:val="1"/>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C28A6"/>
    <w:pPr>
      <w:widowControl w:val="0"/>
      <w:overflowPunct w:val="0"/>
      <w:autoSpaceDE w:val="0"/>
      <w:autoSpaceDN w:val="0"/>
      <w:adjustRightInd w:val="0"/>
      <w:spacing w:after="0" w:line="240" w:lineRule="auto"/>
      <w:textAlignment w:val="baseline"/>
    </w:pPr>
    <w:rPr>
      <w:rFonts w:ascii="Arial" w:eastAsia="Yu Mincho"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9C28A6"/>
    <w:rPr>
      <w:rFonts w:ascii="Arial" w:eastAsia="Yu Mincho" w:hAnsi="Arial" w:cs="Times New Roman"/>
      <w:b/>
      <w:noProof/>
      <w:sz w:val="18"/>
      <w:szCs w:val="20"/>
      <w:lang w:eastAsia="ja-JP"/>
    </w:rPr>
  </w:style>
  <w:style w:type="paragraph" w:customStyle="1" w:styleId="CRCoverPage">
    <w:name w:val="CR Cover Page"/>
    <w:link w:val="CRCoverPageZchn"/>
    <w:rsid w:val="009C28A6"/>
    <w:pPr>
      <w:spacing w:after="120" w:line="240" w:lineRule="auto"/>
    </w:pPr>
    <w:rPr>
      <w:rFonts w:ascii="Arial" w:eastAsia="MS Mincho" w:hAnsi="Arial" w:cs="Times New Roman"/>
      <w:sz w:val="20"/>
      <w:szCs w:val="20"/>
      <w:lang w:eastAsia="en-US"/>
    </w:rPr>
  </w:style>
  <w:style w:type="character" w:customStyle="1" w:styleId="CRCoverPageZchn">
    <w:name w:val="CR Cover Page Zchn"/>
    <w:link w:val="CRCoverPage"/>
    <w:rsid w:val="009C28A6"/>
    <w:rPr>
      <w:rFonts w:ascii="Arial" w:eastAsia="MS Mincho"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1172</Words>
  <Characters>6687</Characters>
  <Application>Microsoft Office Word</Application>
  <DocSecurity>0</DocSecurity>
  <Lines>55</Lines>
  <Paragraphs>15</Paragraphs>
  <ScaleCrop>false</ScaleCrop>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2021-05-25T16:00:00Z</dcterms:created>
  <dcterms:modified xsi:type="dcterms:W3CDTF">2021-05-25T16:00:00Z</dcterms:modified>
</cp:coreProperties>
</file>